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1" w:rsidRPr="007D2241" w:rsidRDefault="001976FC" w:rsidP="000909C3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bookmarkStart w:id="0" w:name="_GoBack"/>
      <w:bookmarkEnd w:id="0"/>
      <w:r w:rsidRPr="007D2241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Vətəndaşlardan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Dövlət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Gömrük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Komitəsinə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daxil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olan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sorğu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və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məktubların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icrasının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müraciət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edənlər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tərəfindən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onlayn</w:t>
      </w:r>
      <w:proofErr w:type="spellEnd"/>
      <w:r w:rsidR="007D2241" w:rsidRPr="007D22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241" w:rsidRPr="007D2241">
        <w:rPr>
          <w:rFonts w:ascii="Arial" w:hAnsi="Arial" w:cs="Arial"/>
          <w:b/>
          <w:sz w:val="24"/>
          <w:szCs w:val="24"/>
        </w:rPr>
        <w:t>izlənməsi</w:t>
      </w:r>
      <w:proofErr w:type="spellEnd"/>
      <w:r w:rsidRPr="007D2241">
        <w:rPr>
          <w:rFonts w:ascii="Arial" w:hAnsi="Arial" w:cs="Arial"/>
          <w:b/>
          <w:sz w:val="24"/>
          <w:szCs w:val="24"/>
          <w:lang w:val="en-US"/>
        </w:rPr>
        <w:t>”</w:t>
      </w:r>
      <w:r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D1E03" w:rsidRPr="007D2241">
        <w:rPr>
          <w:rFonts w:ascii="Arial" w:hAnsi="Arial" w:cs="Arial"/>
          <w:b/>
          <w:sz w:val="24"/>
          <w:szCs w:val="24"/>
          <w:lang w:val="en-US"/>
        </w:rPr>
        <w:t>e</w:t>
      </w:r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lektron</w:t>
      </w:r>
      <w:proofErr w:type="spellEnd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D1E0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g</w:t>
      </w:r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ömrük</w:t>
      </w:r>
      <w:proofErr w:type="spellEnd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xidmətindən</w:t>
      </w:r>
      <w:proofErr w:type="spellEnd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istifadə</w:t>
      </w:r>
      <w:proofErr w:type="spellEnd"/>
      <w:r w:rsidR="000909C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D1E03" w:rsidRPr="007D224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təlimatı</w:t>
      </w:r>
      <w:proofErr w:type="spellEnd"/>
    </w:p>
    <w:p w:rsidR="007D2241" w:rsidRDefault="000909C3" w:rsidP="004E6A6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Elektron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Hökumət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Portalının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(www.e-gov.az) 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Dövlət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Komitəsinin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internet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saytının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(www.customs.gov.az)  “e-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xidmətləri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bölmələrində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yerləşdirilmiş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 </w:t>
      </w:r>
      <w:r w:rsidRPr="007D2241">
        <w:rPr>
          <w:rFonts w:ascii="Arial" w:hAnsi="Arial" w:cs="Arial"/>
          <w:b/>
          <w:i/>
          <w:sz w:val="24"/>
          <w:szCs w:val="24"/>
          <w:lang w:val="en-US"/>
        </w:rPr>
        <w:t>“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Vətəndaşlardan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Dövlət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Gömrük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Komitəsinə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daxil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olan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sorğu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və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məktubların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icrasının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müraciət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edənlər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tərəfindən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onlayn</w:t>
      </w:r>
      <w:proofErr w:type="spellEnd"/>
      <w:r w:rsidR="007D2241" w:rsidRPr="007D224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i/>
          <w:sz w:val="24"/>
          <w:szCs w:val="24"/>
          <w:lang w:val="en-US"/>
        </w:rPr>
        <w:t>izlənməsi</w:t>
      </w:r>
      <w:proofErr w:type="spellEnd"/>
      <w:r w:rsidRPr="007D2241">
        <w:rPr>
          <w:rFonts w:ascii="Arial" w:hAnsi="Arial" w:cs="Arial"/>
          <w:b/>
          <w:i/>
          <w:sz w:val="24"/>
          <w:szCs w:val="24"/>
          <w:lang w:val="en-US"/>
        </w:rPr>
        <w:t>”</w:t>
      </w:r>
      <w:r w:rsidRPr="007D2241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D2241">
        <w:rPr>
          <w:rFonts w:ascii="Arial" w:hAnsi="Arial" w:cs="Arial"/>
          <w:sz w:val="24"/>
          <w:szCs w:val="24"/>
          <w:lang w:val="en-US"/>
        </w:rPr>
        <w:t>xidmətindən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istifadə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etməklə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r w:rsidR="007D2241" w:rsidRPr="00922A1B">
        <w:rPr>
          <w:rFonts w:ascii="Arial" w:eastAsia="Times New Roman" w:hAnsi="Arial" w:cs="Arial"/>
          <w:sz w:val="24"/>
          <w:szCs w:val="24"/>
          <w:lang w:val="az-Latn-AZ"/>
        </w:rPr>
        <w:t>Dövlət Gömrük Komitəsinə elektron qaydada müraciət  etmiş şəxsə müraciətin qəbul olunması və müraciətin qeydiyyat nömrəsi haqqında məlumat göndərilir.</w:t>
      </w:r>
      <w:r w:rsidR="007D2241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7D2241" w:rsidRPr="00922A1B">
        <w:rPr>
          <w:rFonts w:ascii="Arial" w:eastAsia="Times New Roman" w:hAnsi="Arial" w:cs="Arial"/>
          <w:sz w:val="24"/>
          <w:szCs w:val="24"/>
          <w:lang w:val="az-Latn-AZ"/>
        </w:rPr>
        <w:t>Komitəyə yazılı müraciət etmiş şəxslər həmin məlumatları Komitənin ”Çağrı Mərkəzi”nə müraciət etməklə əldə edə bilərlər.  Bu xidmət vasitəsilə şəxslər istədikləri vaxt həmin qeydiyyat nömrəsinə uyğun sorğu</w:t>
      </w:r>
      <w:r w:rsidR="00E8393F">
        <w:rPr>
          <w:rFonts w:ascii="Arial" w:eastAsia="Times New Roman" w:hAnsi="Arial" w:cs="Arial"/>
          <w:sz w:val="24"/>
          <w:szCs w:val="24"/>
          <w:lang w:val="az-Latn-AZ"/>
        </w:rPr>
        <w:t xml:space="preserve"> göndərməklə </w:t>
      </w:r>
      <w:r w:rsidR="007D2241" w:rsidRPr="00922A1B">
        <w:rPr>
          <w:rFonts w:ascii="Arial" w:eastAsia="Times New Roman" w:hAnsi="Arial" w:cs="Arial"/>
          <w:sz w:val="24"/>
          <w:szCs w:val="24"/>
          <w:lang w:val="az-Latn-AZ"/>
        </w:rPr>
        <w:t>məktubun icraçısı və icra vəziyyəti barədə elektron formada məlumat əldə edirlər.</w:t>
      </w:r>
      <w:r w:rsidR="004E6A66" w:rsidRPr="001C25FB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155BB8" w:rsidRPr="001C25FB" w:rsidRDefault="000909C3" w:rsidP="004E6A6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>Xidmətdən istifadə etmək</w:t>
      </w:r>
      <w:r w:rsidR="004E6A66" w:rsidRPr="001C25FB">
        <w:rPr>
          <w:rFonts w:ascii="Arial" w:hAnsi="Arial" w:cs="Arial"/>
          <w:sz w:val="24"/>
          <w:szCs w:val="24"/>
          <w:lang w:val="az-Latn-AZ"/>
        </w:rPr>
        <w:t xml:space="preserve"> üçün </w:t>
      </w:r>
      <w:r w:rsidR="00923926" w:rsidRPr="001C25FB">
        <w:rPr>
          <w:rFonts w:ascii="Arial" w:hAnsi="Arial" w:cs="Arial"/>
          <w:sz w:val="24"/>
          <w:szCs w:val="24"/>
          <w:lang w:val="az-Latn-AZ"/>
        </w:rPr>
        <w:t xml:space="preserve">www.e-gov.az saytına daxil olmaqla “Bütün xidmətlər” bölməsi seçilir: </w:t>
      </w:r>
    </w:p>
    <w:p w:rsidR="000909C3" w:rsidRPr="001C25FB" w:rsidRDefault="000909C3" w:rsidP="000909C3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A771A98" wp14:editId="46441FF2">
            <wp:extent cx="5695950" cy="375285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60" cy="37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5AA9" w:rsidRDefault="00C85AA9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C85AA9" w:rsidRDefault="00C85AA9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C85AA9" w:rsidRDefault="00C85AA9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C85AA9" w:rsidRDefault="00C85AA9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C85AA9" w:rsidRDefault="00C85AA9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0909C3" w:rsidRPr="00C85AA9" w:rsidRDefault="000909C3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lastRenderedPageBreak/>
        <w:t>2-ci addımda ölkə üzrə fəaliyyət göstərən elektron xidmətlərin ümumi siyahısından «Qurumlar» bölm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ə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sindən </w:t>
      </w:r>
      <w:r w:rsidRPr="00C85AA9">
        <w:rPr>
          <w:rFonts w:ascii="Arial" w:hAnsi="Arial" w:cs="Arial"/>
          <w:sz w:val="24"/>
          <w:szCs w:val="24"/>
          <w:lang w:val="az-Latn-AZ"/>
        </w:rPr>
        <w:t>“Dövlət Gömrük Komitəsi” seçilir: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8A61F4" wp14:editId="5DDC9BB7">
            <wp:extent cx="5940425" cy="3718514"/>
            <wp:effectExtent l="0" t="0" r="317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916D1A" w:rsidRDefault="000909C3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3-cü addımda </w:t>
      </w:r>
      <w:r w:rsidR="001C25FB">
        <w:rPr>
          <w:rFonts w:ascii="Arial" w:hAnsi="Arial" w:cs="Arial"/>
          <w:sz w:val="24"/>
          <w:szCs w:val="24"/>
          <w:lang w:val="az-Latn-AZ"/>
        </w:rPr>
        <w:t xml:space="preserve">isə DGK-nın  </w:t>
      </w:r>
      <w:r w:rsidR="00337A41" w:rsidRPr="007D2241">
        <w:rPr>
          <w:rFonts w:ascii="Arial" w:hAnsi="Arial" w:cs="Arial"/>
          <w:b/>
          <w:sz w:val="24"/>
          <w:szCs w:val="24"/>
          <w:lang w:val="az-Latn-AZ"/>
        </w:rPr>
        <w:t>“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Vətəndaşlardan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Dövlət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Komitəsinə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daxil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olan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sorğu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məktubların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icrasının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müraciət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edənlər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tərəfindən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onlayn</w:t>
      </w:r>
      <w:proofErr w:type="spellEnd"/>
      <w:r w:rsidR="007D2241" w:rsidRPr="007D2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2241" w:rsidRPr="007D2241">
        <w:rPr>
          <w:rFonts w:ascii="Arial" w:hAnsi="Arial" w:cs="Arial"/>
          <w:sz w:val="24"/>
          <w:szCs w:val="24"/>
          <w:lang w:val="en-US"/>
        </w:rPr>
        <w:t>izlənməsi</w:t>
      </w:r>
      <w:proofErr w:type="spellEnd"/>
      <w:r w:rsidR="00337A41" w:rsidRPr="007D2241">
        <w:rPr>
          <w:rFonts w:ascii="Arial" w:hAnsi="Arial" w:cs="Arial"/>
          <w:b/>
          <w:sz w:val="24"/>
          <w:szCs w:val="24"/>
          <w:lang w:val="az-Latn-AZ"/>
        </w:rPr>
        <w:t>”</w:t>
      </w:r>
      <w:r w:rsidR="00337A41" w:rsidRPr="00916D1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C25FB">
        <w:rPr>
          <w:rFonts w:ascii="Arial" w:hAnsi="Arial" w:cs="Arial"/>
          <w:sz w:val="24"/>
          <w:szCs w:val="24"/>
          <w:lang w:val="az-Latn-AZ"/>
        </w:rPr>
        <w:t>xidmət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i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 seçilir</w:t>
      </w:r>
      <w:r w:rsidR="00916D1A">
        <w:rPr>
          <w:rFonts w:ascii="Arial" w:hAnsi="Arial" w:cs="Arial"/>
          <w:sz w:val="24"/>
          <w:szCs w:val="24"/>
          <w:lang w:val="az-Latn-AZ"/>
        </w:rPr>
        <w:t xml:space="preserve"> və e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l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ektron hökumət portalına daxil olmaq üçün səhifə açılır. 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E8692B" wp14:editId="2D17722F">
            <wp:extent cx="5940425" cy="3237835"/>
            <wp:effectExtent l="0" t="0" r="3175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1C25FB" w:rsidRDefault="000909C3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Bu mərhələdə elektron hökumət portalına  </w:t>
      </w:r>
      <w:r w:rsidR="004179C9" w:rsidRPr="001C25FB">
        <w:rPr>
          <w:rFonts w:ascii="Arial" w:hAnsi="Arial" w:cs="Arial"/>
          <w:sz w:val="24"/>
          <w:szCs w:val="24"/>
          <w:lang w:val="az-Latn-AZ"/>
        </w:rPr>
        <w:t xml:space="preserve">daxil olmaq 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üçün bizdə aktiv olan müvafiq daxilolma vasitəsinə uyğun rejim seçilir. Əgər asan imza ilə daxil olmaq </w:t>
      </w:r>
      <w:r w:rsidRPr="001C25FB">
        <w:rPr>
          <w:rFonts w:ascii="Arial" w:hAnsi="Arial" w:cs="Arial"/>
          <w:sz w:val="24"/>
          <w:szCs w:val="24"/>
          <w:lang w:val="az-Latn-AZ"/>
        </w:rPr>
        <w:lastRenderedPageBreak/>
        <w:t>lazımdırsa,  “Asan imza ilə daxil olmaq” rejimi seçilir və ekranda aşağıdakı məlumatlar görünür.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7844D90" wp14:editId="29A07B02">
            <wp:extent cx="5934074" cy="23526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1C25FB" w:rsidRDefault="000909C3" w:rsidP="004B1F01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Asan imza və istifadəçi İD-si daxil olunduqdan sonra “Daxil ol” düyməsi sıxılır və ekranda göstərilən rəqəm ilə telefona gələn rəqəm qarşılaşdırılır, eyni olduqda </w:t>
      </w:r>
      <w:r w:rsidR="004179C9" w:rsidRPr="001C25FB">
        <w:rPr>
          <w:rFonts w:ascii="Arial" w:hAnsi="Arial" w:cs="Arial"/>
          <w:sz w:val="24"/>
          <w:szCs w:val="24"/>
          <w:lang w:val="az-Latn-AZ"/>
        </w:rPr>
        <w:t xml:space="preserve">telefonun ekranında olan düymənin köməyilə bu təsdiq edilir, daha sonra 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Pin1 kodu daxil edilir, hər şey normal olarsa, 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aşağıdakı kimi səhifə açılır</w:t>
      </w:r>
      <w:r w:rsidR="004B1F0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(Şəkil 1)</w:t>
      </w:r>
      <w:r w:rsidRPr="001C25FB">
        <w:rPr>
          <w:rFonts w:ascii="Arial" w:hAnsi="Arial" w:cs="Arial"/>
          <w:sz w:val="24"/>
          <w:szCs w:val="24"/>
          <w:lang w:val="az-Latn-AZ"/>
        </w:rPr>
        <w:t>:</w:t>
      </w:r>
    </w:p>
    <w:p w:rsidR="00337A41" w:rsidRPr="001C25FB" w:rsidRDefault="007D2241" w:rsidP="004B1F01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407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A41" w:rsidRPr="004B1F01">
        <w:rPr>
          <w:rFonts w:ascii="Arial" w:hAnsi="Arial" w:cs="Arial"/>
          <w:b/>
          <w:sz w:val="24"/>
          <w:szCs w:val="24"/>
          <w:lang w:val="az-Latn-AZ"/>
        </w:rPr>
        <w:t>Şəkil 1.</w:t>
      </w:r>
    </w:p>
    <w:p w:rsidR="007D2241" w:rsidRDefault="004179C9" w:rsidP="00F26A25">
      <w:pPr>
        <w:ind w:firstLine="567"/>
        <w:jc w:val="both"/>
        <w:rPr>
          <w:rFonts w:ascii="Arial" w:hAnsi="Arial" w:cs="Arial"/>
          <w:lang w:val="az-Latn-AZ"/>
        </w:rPr>
      </w:pPr>
      <w:r w:rsidRPr="001C25FB">
        <w:rPr>
          <w:rFonts w:ascii="Arial" w:hAnsi="Arial" w:cs="Arial"/>
          <w:lang w:val="az-Latn-AZ"/>
        </w:rPr>
        <w:t xml:space="preserve"> </w:t>
      </w:r>
      <w:r w:rsidR="00456A50">
        <w:rPr>
          <w:rFonts w:ascii="Arial" w:hAnsi="Arial" w:cs="Arial"/>
          <w:lang w:val="az-Latn-AZ"/>
        </w:rPr>
        <w:t>Məktubun hansı gömrük orqanına ünvanlanması seçilir (Şəkil 2), nomrəsi və qeydiyyat tarixi daxil olunur (Şəkil 3)</w:t>
      </w:r>
      <w:r w:rsidR="00456A50" w:rsidRPr="00456A50">
        <w:rPr>
          <w:rFonts w:ascii="Arial" w:hAnsi="Arial" w:cs="Arial"/>
          <w:lang w:val="az-Latn-AZ"/>
        </w:rPr>
        <w:t>:</w:t>
      </w:r>
    </w:p>
    <w:p w:rsidR="00456A50" w:rsidRDefault="00456A50" w:rsidP="00F26A25">
      <w:pPr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95925" cy="1905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50" w:rsidRPr="00456A50" w:rsidRDefault="00456A50" w:rsidP="00456A50">
      <w:pPr>
        <w:ind w:firstLine="567"/>
        <w:jc w:val="center"/>
        <w:rPr>
          <w:rFonts w:ascii="Arial" w:hAnsi="Arial" w:cs="Arial"/>
          <w:b/>
          <w:lang w:val="az-Latn-AZ"/>
        </w:rPr>
      </w:pPr>
      <w:r w:rsidRPr="00456A50">
        <w:rPr>
          <w:rFonts w:ascii="Arial" w:hAnsi="Arial" w:cs="Arial"/>
          <w:b/>
          <w:lang w:val="az-Latn-AZ"/>
        </w:rPr>
        <w:t>Şəkil 2.</w:t>
      </w:r>
    </w:p>
    <w:p w:rsidR="00456A50" w:rsidRDefault="00456A50" w:rsidP="00F26A25">
      <w:pPr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581650" cy="1238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50" w:rsidRPr="00456A50" w:rsidRDefault="00456A50" w:rsidP="00456A50">
      <w:pPr>
        <w:ind w:firstLine="567"/>
        <w:jc w:val="center"/>
        <w:rPr>
          <w:rFonts w:ascii="Arial" w:hAnsi="Arial" w:cs="Arial"/>
          <w:b/>
          <w:lang w:val="az-Latn-AZ"/>
        </w:rPr>
      </w:pPr>
      <w:r w:rsidRPr="00456A50">
        <w:rPr>
          <w:rFonts w:ascii="Arial" w:hAnsi="Arial" w:cs="Arial"/>
          <w:b/>
          <w:lang w:val="az-Latn-AZ"/>
        </w:rPr>
        <w:t>Şəkil 3.</w:t>
      </w:r>
    </w:p>
    <w:p w:rsidR="007D2241" w:rsidRDefault="00AC7B39" w:rsidP="00F26A25">
      <w:pPr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Daha sonra “Məktubun hansı gömrük orqanında olduğunu göstər” düyməsi sıxıldıqdan sonra ekranda məktubun hansı struktur bölmədə,</w:t>
      </w:r>
      <w:r w:rsidR="009A10EF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  <w:lang w:val="az-Latn-AZ"/>
        </w:rPr>
        <w:t>kimdə olması və həmin şəxsi</w:t>
      </w:r>
      <w:r w:rsidR="009A10EF">
        <w:rPr>
          <w:rFonts w:ascii="Arial" w:hAnsi="Arial" w:cs="Arial"/>
          <w:lang w:val="az-Latn-AZ"/>
        </w:rPr>
        <w:t>n</w:t>
      </w:r>
      <w:r>
        <w:rPr>
          <w:rFonts w:ascii="Arial" w:hAnsi="Arial" w:cs="Arial"/>
          <w:lang w:val="az-Latn-AZ"/>
        </w:rPr>
        <w:t xml:space="preserve"> telefon nömrəsi göstəriır (Şə</w:t>
      </w:r>
      <w:r w:rsidR="007F7429">
        <w:rPr>
          <w:rFonts w:ascii="Arial" w:hAnsi="Arial" w:cs="Arial"/>
          <w:lang w:val="az-Latn-AZ"/>
        </w:rPr>
        <w:t>kil 4):</w:t>
      </w:r>
    </w:p>
    <w:p w:rsidR="007D2241" w:rsidRDefault="00AC7B39" w:rsidP="00F26A25">
      <w:pPr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34075" cy="1590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39" w:rsidRPr="00AC7B39" w:rsidRDefault="00AC7B39" w:rsidP="00AC7B39">
      <w:pPr>
        <w:ind w:firstLine="567"/>
        <w:jc w:val="center"/>
        <w:rPr>
          <w:rFonts w:ascii="Arial" w:hAnsi="Arial" w:cs="Arial"/>
          <w:b/>
          <w:lang w:val="az-Latn-AZ"/>
        </w:rPr>
      </w:pPr>
      <w:r w:rsidRPr="00AC7B39">
        <w:rPr>
          <w:rFonts w:ascii="Arial" w:hAnsi="Arial" w:cs="Arial"/>
          <w:b/>
          <w:lang w:val="az-Latn-AZ"/>
        </w:rPr>
        <w:t>Şəkil 4.</w:t>
      </w:r>
    </w:p>
    <w:p w:rsidR="007D2241" w:rsidRDefault="006D2540" w:rsidP="00F26A25">
      <w:pPr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Yuxarıdakı şəkildə də göründüyü kimi </w:t>
      </w:r>
      <w:r w:rsidR="00AC7B39">
        <w:rPr>
          <w:rFonts w:ascii="Arial" w:hAnsi="Arial" w:cs="Arial"/>
          <w:lang w:val="az-Latn-AZ"/>
        </w:rPr>
        <w:t xml:space="preserve">“Geri” düyməsini sıxmaqla </w:t>
      </w:r>
      <w:r w:rsidR="000F0C1D">
        <w:rPr>
          <w:rFonts w:ascii="Arial" w:hAnsi="Arial" w:cs="Arial"/>
          <w:lang w:val="az-Latn-AZ"/>
        </w:rPr>
        <w:t xml:space="preserve">həmin şəxsə </w:t>
      </w:r>
      <w:r>
        <w:rPr>
          <w:rFonts w:ascii="Arial" w:hAnsi="Arial" w:cs="Arial"/>
          <w:lang w:val="az-Latn-AZ"/>
        </w:rPr>
        <w:t>aid olan başqa bir məktubun monitorinqini izləmək olar.</w:t>
      </w:r>
    </w:p>
    <w:sectPr w:rsidR="007D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83F"/>
    <w:multiLevelType w:val="hybridMultilevel"/>
    <w:tmpl w:val="7D661BDC"/>
    <w:lvl w:ilvl="0" w:tplc="4426F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C5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E0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E4F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C2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4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7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6E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88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B60BB"/>
    <w:multiLevelType w:val="hybridMultilevel"/>
    <w:tmpl w:val="85EC2A9A"/>
    <w:lvl w:ilvl="0" w:tplc="B1102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E1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0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766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C1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4B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6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2D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03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3"/>
    <w:rsid w:val="0000129D"/>
    <w:rsid w:val="000527E0"/>
    <w:rsid w:val="000909C3"/>
    <w:rsid w:val="000F0C1D"/>
    <w:rsid w:val="00155BB8"/>
    <w:rsid w:val="001976FC"/>
    <w:rsid w:val="001C25FB"/>
    <w:rsid w:val="001D3C23"/>
    <w:rsid w:val="002779A2"/>
    <w:rsid w:val="00287687"/>
    <w:rsid w:val="0031563F"/>
    <w:rsid w:val="00337A41"/>
    <w:rsid w:val="00381228"/>
    <w:rsid w:val="003D1E03"/>
    <w:rsid w:val="0040116B"/>
    <w:rsid w:val="004179C9"/>
    <w:rsid w:val="00456A50"/>
    <w:rsid w:val="004613FA"/>
    <w:rsid w:val="004B1F01"/>
    <w:rsid w:val="004E6A66"/>
    <w:rsid w:val="00565102"/>
    <w:rsid w:val="005E1D5D"/>
    <w:rsid w:val="00691E80"/>
    <w:rsid w:val="006D2540"/>
    <w:rsid w:val="0078582F"/>
    <w:rsid w:val="007D2241"/>
    <w:rsid w:val="007E19CB"/>
    <w:rsid w:val="007F7429"/>
    <w:rsid w:val="008F2101"/>
    <w:rsid w:val="00916D1A"/>
    <w:rsid w:val="00923926"/>
    <w:rsid w:val="009A10EF"/>
    <w:rsid w:val="009F3B07"/>
    <w:rsid w:val="00A87F71"/>
    <w:rsid w:val="00AC7B39"/>
    <w:rsid w:val="00AE0EE5"/>
    <w:rsid w:val="00B00541"/>
    <w:rsid w:val="00B728E8"/>
    <w:rsid w:val="00BD1FBE"/>
    <w:rsid w:val="00BD49E0"/>
    <w:rsid w:val="00C85AA9"/>
    <w:rsid w:val="00CB0DDD"/>
    <w:rsid w:val="00D72A0B"/>
    <w:rsid w:val="00DB480C"/>
    <w:rsid w:val="00DB75B5"/>
    <w:rsid w:val="00DE5586"/>
    <w:rsid w:val="00E72E95"/>
    <w:rsid w:val="00E73042"/>
    <w:rsid w:val="00E8393F"/>
    <w:rsid w:val="00E85B13"/>
    <w:rsid w:val="00F220B6"/>
    <w:rsid w:val="00F26A25"/>
    <w:rsid w:val="00F3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0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Feraset Murselov</dc:creator>
  <cp:lastModifiedBy>Feraset Murselov</cp:lastModifiedBy>
  <cp:revision>2</cp:revision>
  <dcterms:created xsi:type="dcterms:W3CDTF">2018-05-11T06:50:00Z</dcterms:created>
  <dcterms:modified xsi:type="dcterms:W3CDTF">2018-05-11T06:50:00Z</dcterms:modified>
</cp:coreProperties>
</file>