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4F1759" w14:textId="6E2C4CA5" w:rsidR="006F2028" w:rsidRPr="001A2464" w:rsidRDefault="00C753A2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753A2">
        <w:rPr>
          <w:rFonts w:asciiTheme="majorHAnsi" w:hAnsiTheme="majorHAnsi" w:cstheme="majorHAnsi"/>
          <w:b/>
          <w:sz w:val="28"/>
          <w:szCs w:val="28"/>
        </w:rPr>
        <w:t>Çoxmənzilli binalarda yaşayış mənzillərinin qeydiyyata alınması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11656" w:rsidRPr="00F11656">
        <w:rPr>
          <w:rFonts w:asciiTheme="majorHAnsi" w:hAnsiTheme="majorHAnsi" w:cstheme="majorHAnsi"/>
          <w:b/>
          <w:sz w:val="28"/>
          <w:szCs w:val="28"/>
        </w:rPr>
        <w:t xml:space="preserve">xidməti </w:t>
      </w:r>
      <w:r w:rsidR="00A34EAE" w:rsidRPr="001A246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8A4A44B" w14:textId="77777777" w:rsidR="00ED6458" w:rsidRPr="001A2464" w:rsidRDefault="00ED6458" w:rsidP="00ED6458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7C18">
        <w:rPr>
          <w:rFonts w:asciiTheme="majorHAnsi" w:hAnsiTheme="majorHAnsi" w:cstheme="majorHAnsi"/>
          <w:b/>
          <w:sz w:val="28"/>
          <w:szCs w:val="28"/>
        </w:rPr>
        <w:t>İSTİFADƏ TƏLİMATI</w:t>
      </w:r>
    </w:p>
    <w:p w14:paraId="5BD573FF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06623A81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045C22E" w14:textId="77777777" w:rsidR="00E12424" w:rsidRDefault="00E12424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368F828" w14:textId="77777777" w:rsidR="00ED6458" w:rsidRPr="001A2464" w:rsidRDefault="00ED645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F8B4FB" w14:textId="2B4B3E66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778C0">
        <w:rPr>
          <w:rFonts w:asciiTheme="majorHAnsi" w:hAnsiTheme="majorHAnsi" w:cstheme="majorHAnsi"/>
          <w:b/>
          <w:sz w:val="28"/>
          <w:szCs w:val="28"/>
        </w:rPr>
        <w:t>2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EndPr/>
      <w:sdtContent>
        <w:p w14:paraId="51BAADFC" w14:textId="06A0C269" w:rsidR="00C1263C" w:rsidRDefault="00A34EAE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111546857" w:history="1">
            <w:r w:rsidR="00C1263C"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1.</w:t>
            </w:r>
            <w:r w:rsidR="00C1263C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1263C"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Giriş</w:t>
            </w:r>
            <w:r w:rsidR="00C1263C">
              <w:rPr>
                <w:noProof/>
                <w:webHidden/>
              </w:rPr>
              <w:tab/>
            </w:r>
            <w:r w:rsidR="00C1263C">
              <w:rPr>
                <w:noProof/>
                <w:webHidden/>
              </w:rPr>
              <w:fldChar w:fldCharType="begin"/>
            </w:r>
            <w:r w:rsidR="00C1263C">
              <w:rPr>
                <w:noProof/>
                <w:webHidden/>
              </w:rPr>
              <w:instrText xml:space="preserve"> PAGEREF _Toc111546857 \h </w:instrText>
            </w:r>
            <w:r w:rsidR="00C1263C">
              <w:rPr>
                <w:noProof/>
                <w:webHidden/>
              </w:rPr>
            </w:r>
            <w:r w:rsidR="00C1263C">
              <w:rPr>
                <w:noProof/>
                <w:webHidden/>
              </w:rPr>
              <w:fldChar w:fldCharType="separate"/>
            </w:r>
            <w:r w:rsidR="00C1263C">
              <w:rPr>
                <w:noProof/>
                <w:webHidden/>
              </w:rPr>
              <w:t>3</w:t>
            </w:r>
            <w:r w:rsidR="00C1263C">
              <w:rPr>
                <w:noProof/>
                <w:webHidden/>
              </w:rPr>
              <w:fldChar w:fldCharType="end"/>
            </w:r>
          </w:hyperlink>
        </w:p>
        <w:p w14:paraId="01B17A5C" w14:textId="03D5BA37" w:rsidR="00C1263C" w:rsidRDefault="00C1263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11546858" w:history="1"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“Elektron hökümət” portalından giriş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_Toc111546858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FDEC9" w14:textId="78E655FF" w:rsidR="00C1263C" w:rsidRDefault="00C1263C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11546859" w:history="1"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Müraciət qaydası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_Toc111546859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283D0" w14:textId="384B2541" w:rsidR="00C1263C" w:rsidRDefault="00C1263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11546860" w:history="1"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Əsas məlumatlar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_Toc111546860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79548" w14:textId="15EA87AC" w:rsidR="00C1263C" w:rsidRDefault="00C1263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11546861" w:history="1"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Müraciət məlumatları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_Toc111546861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6D961" w14:textId="1CCA7BCD" w:rsidR="00C1263C" w:rsidRDefault="00C1263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11546862" w:history="1"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Əlaqə məlumatları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_Toc111546862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E1922" w14:textId="751FC6D6" w:rsidR="00C1263C" w:rsidRDefault="00C1263C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11546863" w:history="1"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851AED">
              <w:rPr>
                <w:rStyle w:val="a5"/>
                <w:rFonts w:asciiTheme="majorHAnsi" w:hAnsiTheme="majorHAnsi" w:cstheme="majorHAnsi"/>
                <w:b/>
                <w:noProof/>
              </w:rPr>
              <w:t>Müraciət barədə məlumatlar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_Toc111546863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47BDD" w14:textId="5B96FE59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372C8263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7D0798E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77777777" w:rsidR="00F30C1A" w:rsidRPr="001A2464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F3CAF2" w14:textId="4DF48EFC" w:rsidR="006F2028" w:rsidRPr="00D43DF7" w:rsidRDefault="00A34EAE" w:rsidP="00D43DF7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111546857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19BD97BC" w14:textId="385299B9" w:rsidR="006F2028" w:rsidRPr="001A2464" w:rsidRDefault="00525F1E" w:rsidP="00D43DF7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25F1E">
        <w:rPr>
          <w:rFonts w:asciiTheme="majorHAnsi" w:eastAsia="Calibri" w:hAnsiTheme="majorHAnsi" w:cstheme="majorHAnsi"/>
          <w:sz w:val="24"/>
          <w:szCs w:val="24"/>
        </w:rPr>
        <w:t>Çoxmənzilli binalarda yaşayış mənzillərinin qeydiyyata alınması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B3FE4">
        <w:rPr>
          <w:rFonts w:asciiTheme="majorHAnsi" w:eastAsia="Calibri" w:hAnsiTheme="majorHAnsi" w:cstheme="majorHAnsi"/>
          <w:sz w:val="24"/>
          <w:szCs w:val="24"/>
        </w:rPr>
        <w:t>xidmətindən istifadə etmək üçün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internet </w:t>
      </w:r>
      <w:r w:rsidR="00D026AF" w:rsidRPr="001A2464">
        <w:rPr>
          <w:rFonts w:asciiTheme="majorHAnsi" w:eastAsia="Calibri" w:hAnsiTheme="majorHAnsi" w:cstheme="majorHAnsi"/>
          <w:sz w:val="24"/>
          <w:szCs w:val="24"/>
        </w:rPr>
        <w:t>şəbəkəsi üzərindən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www.azerishiq.az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və ya </w:t>
      </w:r>
      <w:hyperlink r:id="rId8" w:history="1">
        <w:r w:rsidR="00552EDE" w:rsidRPr="001A2464">
          <w:rPr>
            <w:rStyle w:val="a5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 w:rsidR="00552ED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ünvanı daxil etməklə müvafiq portallardan daxil ola bilərlər.</w:t>
      </w:r>
    </w:p>
    <w:p w14:paraId="60F5954A" w14:textId="77777777" w:rsidR="006F2028" w:rsidRPr="001A2464" w:rsidRDefault="006F2028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1F69C88C" w14:textId="699FFDFA" w:rsidR="006F2028" w:rsidRPr="00D43DF7" w:rsidRDefault="00A34EAE" w:rsidP="00D43DF7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111546858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383F701C" w14:textId="6B62F4A4" w:rsidR="006F2028" w:rsidRPr="001A2464" w:rsidRDefault="00A34EAE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9">
        <w:r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="00D500A5" w:rsidRPr="00D500A5">
        <w:rPr>
          <w:noProof/>
        </w:rPr>
        <w:t xml:space="preserve"> </w:t>
      </w:r>
      <w:r w:rsidR="00D500A5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17739C" wp14:editId="09BB240E">
            <wp:simplePos x="0" y="0"/>
            <wp:positionH relativeFrom="margin">
              <wp:posOffset>0</wp:posOffset>
            </wp:positionH>
            <wp:positionV relativeFrom="paragraph">
              <wp:posOffset>554990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2D4A8218" w:rsidR="006F2028" w:rsidRPr="001A2464" w:rsidRDefault="00A34EAE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Burada E-XİDMƏTLƏR bölməsindən BÜTÜN XİDMƏTLƏR seçilir. </w:t>
      </w:r>
      <w:r w:rsidR="00D500A5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6DA0B9" wp14:editId="6EBB900D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943600" cy="2915920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4D26F" w14:textId="77777777" w:rsidR="00D500A5" w:rsidRDefault="00D500A5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C4A7C85" w14:textId="354498D8" w:rsidR="006F2028" w:rsidRPr="001A2464" w:rsidRDefault="00D0250C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6737">
        <w:rPr>
          <w:rFonts w:asciiTheme="majorHAnsi" w:eastAsia="Calibri" w:hAnsiTheme="majorHAnsi" w:cstheme="majorHAnsi"/>
          <w:sz w:val="24"/>
          <w:szCs w:val="24"/>
        </w:rPr>
        <w:t>Elektron xidmətlərin ümumi siyahısından “Azərişıq” ASC-</w:t>
      </w:r>
      <w:proofErr w:type="spellStart"/>
      <w:r w:rsidRPr="00166737">
        <w:rPr>
          <w:rFonts w:asciiTheme="majorHAnsi" w:eastAsia="Calibri" w:hAnsiTheme="majorHAnsi" w:cstheme="majorHAnsi"/>
          <w:sz w:val="24"/>
          <w:szCs w:val="24"/>
        </w:rPr>
        <w:t>nin</w:t>
      </w:r>
      <w:proofErr w:type="spellEnd"/>
      <w:r w:rsidRPr="00166737">
        <w:rPr>
          <w:rFonts w:asciiTheme="majorHAnsi" w:eastAsia="Calibri" w:hAnsiTheme="majorHAnsi" w:cstheme="majorHAnsi"/>
          <w:sz w:val="24"/>
          <w:szCs w:val="24"/>
        </w:rPr>
        <w:t xml:space="preserve"> təqdim etdiyi elektron xidmətlərin siyahısından “</w:t>
      </w:r>
      <w:r w:rsidR="00C35817" w:rsidRPr="00C35817">
        <w:rPr>
          <w:rFonts w:asciiTheme="majorHAnsi" w:eastAsia="Calibri" w:hAnsiTheme="majorHAnsi" w:cstheme="majorHAnsi"/>
          <w:sz w:val="24"/>
          <w:szCs w:val="24"/>
        </w:rPr>
        <w:t>Çoxmənzilli binalarda yaşayış mənzillərinin qeydiyyata alınması</w:t>
      </w:r>
      <w:r w:rsidRPr="00166737">
        <w:rPr>
          <w:rFonts w:asciiTheme="majorHAnsi" w:eastAsia="Calibri" w:hAnsiTheme="majorHAnsi" w:cstheme="majorHAnsi"/>
          <w:sz w:val="24"/>
          <w:szCs w:val="24"/>
        </w:rPr>
        <w:t>” xidmətini seçməlisiniz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69937F9" w14:textId="736EDCC9" w:rsidR="006F2028" w:rsidRPr="001A2464" w:rsidRDefault="00D0250C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FE022ED" wp14:editId="7F18FF3B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59397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5" y="21368"/>
                <wp:lineTo x="21545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4355"/>
                    <a:stretch/>
                  </pic:blipFill>
                  <pic:spPr bwMode="auto">
                    <a:xfrm>
                      <a:off x="0" y="0"/>
                      <a:ext cx="593979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053F39" w14:textId="65771E2E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27573989" w14:textId="5EE97D0B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8470FB7" w14:textId="39E9D87F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3C3B7533" w14:textId="15FCCB46" w:rsidR="006075E4" w:rsidRDefault="006075E4" w:rsidP="00495C3D">
      <w:pPr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p w14:paraId="25ED0A71" w14:textId="44F5EC9D" w:rsidR="00CB6CA5" w:rsidRPr="00BD57A6" w:rsidRDefault="00CB6CA5" w:rsidP="00BD57A6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Açılan növbəti pəncərədən elektron xidmətə daxil olmaq üçün aşağıdakı giriş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vasitələrindən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 biri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seçilməlidir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:  </w:t>
      </w:r>
      <w:r w:rsidRPr="00BD57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D57A6">
        <w:rPr>
          <w:rFonts w:asciiTheme="majorHAnsi" w:eastAsia="Calibri" w:hAnsiTheme="majorHAnsi" w:cstheme="majorHAnsi"/>
          <w:sz w:val="24"/>
          <w:szCs w:val="24"/>
        </w:rPr>
        <w:tab/>
      </w:r>
    </w:p>
    <w:p w14:paraId="11B660A1" w14:textId="7BD6A283" w:rsidR="00CB6CA5" w:rsidRPr="006A75AF" w:rsidRDefault="00BD57A6" w:rsidP="00CB6CA5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ASAN Login </w:t>
      </w:r>
      <w:proofErr w:type="spellStart"/>
      <w:r>
        <w:rPr>
          <w:rFonts w:asciiTheme="majorHAnsi" w:eastAsia="Calibri" w:hAnsiTheme="majorHAnsi" w:cstheme="majorHAnsi"/>
          <w:sz w:val="24"/>
          <w:szCs w:val="24"/>
          <w:lang w:val="en-US"/>
        </w:rPr>
        <w:t>sistemi</w:t>
      </w:r>
      <w:proofErr w:type="spellEnd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="00CB6CA5"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; </w:t>
      </w:r>
    </w:p>
    <w:p w14:paraId="1CA5B038" w14:textId="77777777" w:rsidR="00CB6CA5" w:rsidRPr="006A75AF" w:rsidRDefault="00CB6CA5" w:rsidP="00CB6CA5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Elektron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hökumət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sistemi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tərəfindən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vətəndaşa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verilmiş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istifadəçi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adı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şifrə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</w:p>
    <w:p w14:paraId="1B6622DF" w14:textId="77777777" w:rsidR="00CB6CA5" w:rsidRDefault="00CB6CA5" w:rsidP="00CB6CA5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38548646" w14:textId="77777777" w:rsidR="00CB6CA5" w:rsidRPr="00EC3847" w:rsidRDefault="00CB6CA5" w:rsidP="00CB6CA5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1DB00D4A" w14:textId="567B1B0D" w:rsidR="00CB6CA5" w:rsidRPr="001A2464" w:rsidRDefault="00BD57A6" w:rsidP="00CB6C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4BC9A3A7" wp14:editId="235E1B1D">
            <wp:extent cx="594360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EF7DA" w14:textId="6EFD1ADB" w:rsidR="00CB6CA5" w:rsidRDefault="00CB6CA5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</w:p>
    <w:p w14:paraId="648CEA6E" w14:textId="78D463EC" w:rsidR="006F2028" w:rsidRPr="00DE52FE" w:rsidRDefault="00952F50" w:rsidP="00DE52FE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3" w:name="_Toc111546859"/>
      <w:r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3"/>
    </w:p>
    <w:p w14:paraId="0D0A69A3" w14:textId="070A3A44" w:rsidR="006F2028" w:rsidRDefault="00CB6CA5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  <w:r w:rsidRPr="00362585">
        <w:rPr>
          <w:rFonts w:asciiTheme="majorHAnsi" w:eastAsia="Calibri" w:hAnsiTheme="majorHAnsi" w:cstheme="majorHAnsi"/>
          <w:sz w:val="24"/>
          <w:szCs w:val="24"/>
        </w:rPr>
        <w:t xml:space="preserve">Digər dövlət orqanları ilə inteqrasiyada olduğu üçün portala daxil </w:t>
      </w:r>
      <w:proofErr w:type="spellStart"/>
      <w:r w:rsidRPr="00362585">
        <w:rPr>
          <w:rFonts w:asciiTheme="majorHAnsi" w:eastAsia="Calibri" w:hAnsiTheme="majorHAnsi" w:cstheme="majorHAnsi"/>
          <w:sz w:val="24"/>
          <w:szCs w:val="24"/>
        </w:rPr>
        <w:t>olduğunuzda</w:t>
      </w:r>
      <w:proofErr w:type="spellEnd"/>
      <w:r w:rsidRPr="00362585">
        <w:rPr>
          <w:rFonts w:asciiTheme="majorHAnsi" w:eastAsia="Calibri" w:hAnsiTheme="majorHAnsi" w:cstheme="majorHAnsi"/>
          <w:sz w:val="24"/>
          <w:szCs w:val="24"/>
        </w:rPr>
        <w:t xml:space="preserve"> Əsas məlumatlar avtomatik olaraq doldurulur</w:t>
      </w:r>
      <w:r w:rsidR="00A34EAE" w:rsidRPr="001A2464">
        <w:rPr>
          <w:rFonts w:asciiTheme="majorHAnsi" w:eastAsia="Calibri" w:hAnsiTheme="majorHAnsi" w:cstheme="majorHAnsi"/>
        </w:rPr>
        <w:t>.</w:t>
      </w:r>
    </w:p>
    <w:p w14:paraId="2E69FAFA" w14:textId="77777777" w:rsidR="00DE52FE" w:rsidRPr="001A2464" w:rsidRDefault="00DE52FE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</w:p>
    <w:p w14:paraId="6383465D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4" w:name="_Toc111546860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4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250DED46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111546861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r w:rsidR="00A53A61">
        <w:rPr>
          <w:rFonts w:asciiTheme="majorHAnsi" w:hAnsiTheme="majorHAnsi" w:cstheme="majorHAnsi"/>
          <w:b/>
          <w:color w:val="4F81BD"/>
          <w:sz w:val="28"/>
          <w:szCs w:val="28"/>
        </w:rPr>
        <w:t>ı</w:t>
      </w:r>
      <w:bookmarkEnd w:id="5"/>
      <w:r w:rsidR="00805A41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</w:p>
    <w:p w14:paraId="4B3404EC" w14:textId="0FB2F052" w:rsidR="006F2028" w:rsidRPr="001A2464" w:rsidRDefault="00BF57AB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5EBA283E" wp14:editId="4CF1417E">
            <wp:extent cx="5943600" cy="39204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A462" w14:textId="1946A926" w:rsidR="00805A41" w:rsidRDefault="00907BD7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907BD7">
        <w:rPr>
          <w:rFonts w:asciiTheme="majorHAnsi" w:eastAsia="Times New Roman" w:hAnsiTheme="majorHAnsi" w:cstheme="majorHAnsi"/>
          <w:sz w:val="24"/>
          <w:szCs w:val="24"/>
        </w:rPr>
        <w:t>Müraciət nömrəsi əks olunur və abonent kodu seçil</w:t>
      </w:r>
      <w:r w:rsidR="00D65A66">
        <w:rPr>
          <w:rFonts w:asciiTheme="majorHAnsi" w:eastAsia="Times New Roman" w:hAnsiTheme="majorHAnsi" w:cstheme="majorHAnsi"/>
          <w:sz w:val="24"/>
          <w:szCs w:val="24"/>
        </w:rPr>
        <w:t>ərək müraciətin səbəbi qeyd edilir</w:t>
      </w:r>
      <w:r w:rsidR="00056EC8"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E17DD08" w14:textId="77777777" w:rsidR="00805A41" w:rsidRDefault="00805A41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14:paraId="13B4A914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111546862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Əlaqə məlumatları</w:t>
      </w:r>
      <w:bookmarkEnd w:id="6"/>
    </w:p>
    <w:p w14:paraId="14C72AC7" w14:textId="03EED58E" w:rsidR="006F2028" w:rsidRPr="001A2464" w:rsidRDefault="009D0A6B">
      <w:pPr>
        <w:spacing w:after="200"/>
        <w:rPr>
          <w:rFonts w:asciiTheme="majorHAnsi" w:eastAsia="Calibri" w:hAnsiTheme="majorHAnsi" w:cstheme="majorHAnsi"/>
        </w:rPr>
      </w:pPr>
      <w:r>
        <w:rPr>
          <w:noProof/>
        </w:rPr>
        <w:drawing>
          <wp:inline distT="0" distB="0" distL="0" distR="0" wp14:anchorId="7C83583D" wp14:editId="47D869D5">
            <wp:extent cx="5943600" cy="25450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C4D9" w14:textId="204C4B07" w:rsidR="006F2028" w:rsidRPr="001A2464" w:rsidRDefault="001639C9" w:rsidP="001639C9">
      <w:pPr>
        <w:spacing w:after="200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D0864">
        <w:rPr>
          <w:rFonts w:asciiTheme="majorHAnsi" w:hAnsiTheme="majorHAnsi" w:cstheme="majorHAnsi"/>
          <w:sz w:val="24"/>
          <w:szCs w:val="24"/>
        </w:rPr>
        <w:t>Son olaraq abonent əlaqə məlumatları bölməsinə mobil nömrələrin, elektron poçt ünvanını qeyd edir və “Müraciəti göndər” düyməsi sıxılır. “Müraciəti göndər” düyməsindən istifadə etməklə yaradılmış elektron müraciəti “Azərişıq” ASC–</w:t>
      </w:r>
      <w:proofErr w:type="spellStart"/>
      <w:r w:rsidRPr="003D0864">
        <w:rPr>
          <w:rFonts w:asciiTheme="majorHAnsi" w:hAnsiTheme="majorHAnsi" w:cstheme="majorHAnsi"/>
          <w:sz w:val="24"/>
          <w:szCs w:val="24"/>
        </w:rPr>
        <w:t>nin</w:t>
      </w:r>
      <w:proofErr w:type="spellEnd"/>
      <w:r w:rsidRPr="003D0864">
        <w:rPr>
          <w:rFonts w:asciiTheme="majorHAnsi" w:hAnsiTheme="majorHAnsi" w:cstheme="majorHAnsi"/>
          <w:sz w:val="24"/>
          <w:szCs w:val="24"/>
        </w:rPr>
        <w:t xml:space="preserve"> müvafiq departamentlərinə göndərilir. Əlaqə məlumatlarında “Mobil </w:t>
      </w:r>
      <w:proofErr w:type="spellStart"/>
      <w:r w:rsidRPr="003D0864">
        <w:rPr>
          <w:rFonts w:asciiTheme="majorHAnsi" w:hAnsiTheme="majorHAnsi" w:cstheme="majorHAnsi"/>
          <w:sz w:val="24"/>
          <w:szCs w:val="24"/>
        </w:rPr>
        <w:t>No</w:t>
      </w:r>
      <w:proofErr w:type="spellEnd"/>
      <w:r w:rsidRPr="003D0864">
        <w:rPr>
          <w:rFonts w:asciiTheme="majorHAnsi" w:hAnsiTheme="majorHAnsi" w:cstheme="majorHAnsi"/>
          <w:sz w:val="24"/>
          <w:szCs w:val="24"/>
        </w:rPr>
        <w:t>” xanasına mütləq aktiv mobil telefon nömrəsi daxil edilməlidir</w:t>
      </w:r>
      <w:r w:rsidR="00A34EAE" w:rsidRPr="001A2464">
        <w:rPr>
          <w:rFonts w:asciiTheme="majorHAnsi" w:hAnsiTheme="majorHAnsi" w:cstheme="majorHAnsi"/>
          <w:sz w:val="24"/>
          <w:szCs w:val="24"/>
        </w:rPr>
        <w:t>.</w:t>
      </w:r>
    </w:p>
    <w:p w14:paraId="794C8747" w14:textId="77777777" w:rsidR="006F2028" w:rsidRPr="001A2464" w:rsidRDefault="00A34EAE">
      <w:pPr>
        <w:pStyle w:val="1"/>
        <w:numPr>
          <w:ilvl w:val="0"/>
          <w:numId w:val="1"/>
        </w:numPr>
        <w:spacing w:before="480" w:after="0"/>
        <w:ind w:left="426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7" w:name="_Toc111546863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7"/>
    </w:p>
    <w:p w14:paraId="07EEB5D1" w14:textId="77777777" w:rsidR="006F2028" w:rsidRPr="001A2464" w:rsidRDefault="006F2028" w:rsidP="00662477">
      <w:pPr>
        <w:spacing w:after="200"/>
        <w:jc w:val="both"/>
        <w:rPr>
          <w:rFonts w:asciiTheme="majorHAnsi" w:hAnsiTheme="majorHAnsi" w:cstheme="majorHAnsi"/>
          <w:sz w:val="28"/>
          <w:szCs w:val="28"/>
        </w:rPr>
      </w:pPr>
    </w:p>
    <w:p w14:paraId="4EA731DE" w14:textId="77777777" w:rsidR="00662477" w:rsidRPr="00662477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662477">
        <w:rPr>
          <w:rFonts w:asciiTheme="majorHAnsi" w:hAnsiTheme="majorHAnsi" w:cstheme="majorHAnsi"/>
          <w:sz w:val="24"/>
          <w:szCs w:val="24"/>
        </w:rPr>
        <w:t xml:space="preserve">Müvafiq müraciət xanaları </w:t>
      </w:r>
      <w:proofErr w:type="spellStart"/>
      <w:r w:rsidRPr="00662477">
        <w:rPr>
          <w:rFonts w:asciiTheme="majorHAnsi" w:hAnsiTheme="majorHAnsi" w:cstheme="majorHAnsi"/>
          <w:sz w:val="24"/>
          <w:szCs w:val="24"/>
        </w:rPr>
        <w:t>doldurduqdan</w:t>
      </w:r>
      <w:proofErr w:type="spellEnd"/>
      <w:r w:rsidRPr="00662477">
        <w:rPr>
          <w:rFonts w:asciiTheme="majorHAnsi" w:hAnsiTheme="majorHAnsi" w:cstheme="majorHAnsi"/>
          <w:sz w:val="24"/>
          <w:szCs w:val="24"/>
        </w:rPr>
        <w:t xml:space="preserve"> sonra SMS xidməti və Elektron poçt vasitəsi ilə abonentə müraciətin qeydə alınması və müraciətin nəticəsi barədə məlumat göndərilir. </w:t>
      </w:r>
    </w:p>
    <w:p w14:paraId="54518615" w14:textId="420E0E7F" w:rsidR="006F2028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662477">
        <w:rPr>
          <w:rFonts w:asciiTheme="majorHAnsi" w:hAnsiTheme="majorHAnsi" w:cstheme="majorHAnsi"/>
          <w:sz w:val="24"/>
          <w:szCs w:val="24"/>
        </w:rPr>
        <w:t xml:space="preserve">Həmçinin abonent müraciətin nəticəsini </w:t>
      </w:r>
      <w:hyperlink r:id="rId17" w:history="1">
        <w:r w:rsidRPr="004C4EC4">
          <w:rPr>
            <w:rStyle w:val="a5"/>
            <w:rFonts w:asciiTheme="majorHAnsi" w:hAnsiTheme="majorHAnsi" w:cstheme="majorHAnsi"/>
            <w:sz w:val="24"/>
            <w:szCs w:val="24"/>
          </w:rPr>
          <w:t>www.e-gov.az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62477">
        <w:rPr>
          <w:rFonts w:asciiTheme="majorHAnsi" w:hAnsiTheme="majorHAnsi" w:cstheme="majorHAnsi"/>
          <w:sz w:val="24"/>
          <w:szCs w:val="24"/>
        </w:rPr>
        <w:t>portalında “Müraciətlərim” bölməsindən də yoxlaya biləcəkdir.</w:t>
      </w:r>
    </w:p>
    <w:p w14:paraId="304EE7CB" w14:textId="5E1F1F6D" w:rsidR="00662477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6B0579C7" w14:textId="797C1D0A" w:rsidR="00662477" w:rsidRPr="001A2464" w:rsidRDefault="0035511A" w:rsidP="00662477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18E62380" wp14:editId="35C965B0">
            <wp:extent cx="5943600" cy="7988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477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DF"/>
    <w:multiLevelType w:val="hybridMultilevel"/>
    <w:tmpl w:val="17A46C74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28"/>
    <w:rsid w:val="0002679B"/>
    <w:rsid w:val="00044F47"/>
    <w:rsid w:val="00056EC8"/>
    <w:rsid w:val="00111897"/>
    <w:rsid w:val="00122FA6"/>
    <w:rsid w:val="00140DA2"/>
    <w:rsid w:val="001639C9"/>
    <w:rsid w:val="00195AC1"/>
    <w:rsid w:val="001A2464"/>
    <w:rsid w:val="001C7331"/>
    <w:rsid w:val="0023676E"/>
    <w:rsid w:val="00252E54"/>
    <w:rsid w:val="002B3FE4"/>
    <w:rsid w:val="002D05BA"/>
    <w:rsid w:val="003215A8"/>
    <w:rsid w:val="0035511A"/>
    <w:rsid w:val="003874EA"/>
    <w:rsid w:val="003A3630"/>
    <w:rsid w:val="003B051C"/>
    <w:rsid w:val="003D08AC"/>
    <w:rsid w:val="00411F15"/>
    <w:rsid w:val="004206C7"/>
    <w:rsid w:val="00434905"/>
    <w:rsid w:val="00495C3D"/>
    <w:rsid w:val="00525F1E"/>
    <w:rsid w:val="00542BCC"/>
    <w:rsid w:val="00552EDE"/>
    <w:rsid w:val="005C0C6C"/>
    <w:rsid w:val="006075E4"/>
    <w:rsid w:val="00662477"/>
    <w:rsid w:val="006873B9"/>
    <w:rsid w:val="00691535"/>
    <w:rsid w:val="006F2028"/>
    <w:rsid w:val="0075364D"/>
    <w:rsid w:val="00755159"/>
    <w:rsid w:val="007B26B4"/>
    <w:rsid w:val="007B6F6C"/>
    <w:rsid w:val="00805A41"/>
    <w:rsid w:val="00882DA6"/>
    <w:rsid w:val="008964D0"/>
    <w:rsid w:val="008B5B13"/>
    <w:rsid w:val="008D0D83"/>
    <w:rsid w:val="009068E2"/>
    <w:rsid w:val="00907BD7"/>
    <w:rsid w:val="00927EC6"/>
    <w:rsid w:val="00936E91"/>
    <w:rsid w:val="00946C3D"/>
    <w:rsid w:val="00952F50"/>
    <w:rsid w:val="009D0A6B"/>
    <w:rsid w:val="009D53F7"/>
    <w:rsid w:val="009F7AFD"/>
    <w:rsid w:val="00A34EAE"/>
    <w:rsid w:val="00A53A61"/>
    <w:rsid w:val="00AA05AA"/>
    <w:rsid w:val="00AE4AB2"/>
    <w:rsid w:val="00B0666A"/>
    <w:rsid w:val="00B25BBE"/>
    <w:rsid w:val="00BD57A6"/>
    <w:rsid w:val="00BF1F4E"/>
    <w:rsid w:val="00BF57AB"/>
    <w:rsid w:val="00C01599"/>
    <w:rsid w:val="00C1263C"/>
    <w:rsid w:val="00C35817"/>
    <w:rsid w:val="00C65FAF"/>
    <w:rsid w:val="00C753A2"/>
    <w:rsid w:val="00C778C0"/>
    <w:rsid w:val="00C800E8"/>
    <w:rsid w:val="00C829A1"/>
    <w:rsid w:val="00C961B3"/>
    <w:rsid w:val="00CB6CA5"/>
    <w:rsid w:val="00D01381"/>
    <w:rsid w:val="00D0250C"/>
    <w:rsid w:val="00D026AF"/>
    <w:rsid w:val="00D23789"/>
    <w:rsid w:val="00D33673"/>
    <w:rsid w:val="00D43DF7"/>
    <w:rsid w:val="00D472C3"/>
    <w:rsid w:val="00D500A5"/>
    <w:rsid w:val="00D65A66"/>
    <w:rsid w:val="00DA2600"/>
    <w:rsid w:val="00DC4B65"/>
    <w:rsid w:val="00DC7959"/>
    <w:rsid w:val="00DE52FE"/>
    <w:rsid w:val="00E12424"/>
    <w:rsid w:val="00E13191"/>
    <w:rsid w:val="00E2736B"/>
    <w:rsid w:val="00E33535"/>
    <w:rsid w:val="00ED6458"/>
    <w:rsid w:val="00F11656"/>
    <w:rsid w:val="00F30C1A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az-Latn-AZ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2E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D2378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23789"/>
    <w:pPr>
      <w:spacing w:after="100"/>
      <w:ind w:left="220"/>
    </w:pPr>
  </w:style>
  <w:style w:type="paragraph" w:styleId="a7">
    <w:name w:val="List Paragraph"/>
    <w:basedOn w:val="a"/>
    <w:link w:val="a8"/>
    <w:uiPriority w:val="34"/>
    <w:qFormat/>
    <w:rsid w:val="00CB6CA5"/>
    <w:pPr>
      <w:spacing w:line="240" w:lineRule="auto"/>
      <w:ind w:left="720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Абзац списка Знак"/>
    <w:link w:val="a7"/>
    <w:uiPriority w:val="34"/>
    <w:rsid w:val="00CB6CA5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e-gov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345A-4F86-40EC-AB81-99EBC14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Rashad</cp:lastModifiedBy>
  <cp:revision>98</cp:revision>
  <dcterms:created xsi:type="dcterms:W3CDTF">2021-06-25T07:22:00Z</dcterms:created>
  <dcterms:modified xsi:type="dcterms:W3CDTF">2022-08-16T08:54:00Z</dcterms:modified>
</cp:coreProperties>
</file>