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4F1759" w14:textId="11F8DCFB" w:rsidR="006F2028" w:rsidRPr="001A2464" w:rsidRDefault="00CD7A55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7A55">
        <w:rPr>
          <w:rFonts w:asciiTheme="majorHAnsi" w:hAnsiTheme="majorHAnsi" w:cstheme="majorHAnsi"/>
          <w:b/>
          <w:sz w:val="28"/>
          <w:szCs w:val="28"/>
        </w:rPr>
        <w:t>Qeyri-əhali qrupuna aid abonentlərə üzləşmə aktlarının verilməsi</w:t>
      </w:r>
      <w:r w:rsidR="009F7AFD" w:rsidRPr="009F7AF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34EAE" w:rsidRPr="001A2464">
        <w:rPr>
          <w:rFonts w:asciiTheme="majorHAnsi" w:hAnsiTheme="majorHAnsi" w:cstheme="majorHAnsi"/>
          <w:b/>
          <w:sz w:val="28"/>
          <w:szCs w:val="28"/>
        </w:rPr>
        <w:t xml:space="preserve">üçün </w:t>
      </w:r>
    </w:p>
    <w:p w14:paraId="023FADA4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Elektron Müraciətlərin İdarə Olunması Sistemindən istifadə</w:t>
      </w:r>
    </w:p>
    <w:p w14:paraId="5FF52D3D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TƏLİMATI</w:t>
      </w:r>
    </w:p>
    <w:p w14:paraId="5BD573FF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16B1878" w14:textId="77777777" w:rsidR="00D33673" w:rsidRPr="001A2464" w:rsidRDefault="00D33673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4DA123E1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D7A55">
        <w:rPr>
          <w:rFonts w:asciiTheme="majorHAnsi" w:hAnsiTheme="majorHAnsi" w:cstheme="majorHAnsi"/>
          <w:b/>
          <w:sz w:val="28"/>
          <w:szCs w:val="28"/>
        </w:rPr>
        <w:t>3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Content>
        <w:p w14:paraId="3F4D1878" w14:textId="6430DBF6" w:rsidR="001C4A0E" w:rsidRDefault="00A34EAE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99620962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Giriş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_Toc99620962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3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BB087AB" w14:textId="1E7FB634" w:rsidR="001C4A0E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3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1.1.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“Elektron hökümət” portalından giriş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_Toc99620963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3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E5156F5" w14:textId="44541986" w:rsidR="001C4A0E" w:rsidRDefault="00000000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4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qaydası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_Toc99620964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5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6181B272" w14:textId="3089DE26" w:rsidR="001C4A0E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5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Əsas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_Toc99620965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5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47A79728" w14:textId="736D5D0F" w:rsidR="001C4A0E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6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2.2.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_Toc99620966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35EA7E9" w14:textId="315062D0" w:rsidR="001C4A0E" w:rsidRDefault="0000000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7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2.3.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Əlaqə məlumatları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_Toc99620967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615C48F8" w14:textId="00B9FB9F" w:rsidR="001C4A0E" w:rsidRDefault="00000000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8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3.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barədə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_Toc99620968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79E47BDD" w14:textId="2C683C32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3EBA0FF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049011" w14:textId="77777777" w:rsidR="001C4A0E" w:rsidRPr="001A2464" w:rsidRDefault="001C4A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2CCE51" w14:textId="77777777" w:rsidR="006F2028" w:rsidRPr="001A2464" w:rsidRDefault="00A34EAE">
      <w:pPr>
        <w:pStyle w:val="Heading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99620962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6EF3CAF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9BD97BC" w14:textId="6A417DAA" w:rsidR="006F2028" w:rsidRPr="001A2464" w:rsidRDefault="00AA05AA" w:rsidP="00AA05AA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A05AA">
        <w:rPr>
          <w:rFonts w:asciiTheme="majorHAnsi" w:eastAsia="Calibri" w:hAnsiTheme="majorHAnsi" w:cstheme="majorHAnsi"/>
          <w:sz w:val="24"/>
          <w:szCs w:val="24"/>
        </w:rPr>
        <w:t xml:space="preserve">Abonentin borcu olub olmaması barəsində təsdiq olunmuş arayışın təqdim edilməsi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məqsədi ilə müraciət etmələri üçün 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552ED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 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486D2D25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99620963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1F69C88C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383F701C" w14:textId="2EB03028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9BF9AD0" wp14:editId="04B543BA">
            <wp:simplePos x="0" y="0"/>
            <wp:positionH relativeFrom="margin">
              <wp:align>right</wp:align>
            </wp:positionH>
            <wp:positionV relativeFrom="paragraph">
              <wp:posOffset>556895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10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Pr="00194D28">
        <w:rPr>
          <w:noProof/>
        </w:rPr>
        <w:t xml:space="preserve"> </w:t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7E29957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424C6E97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46AD21DD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D143076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7AF8FD23" w:rsidR="006F2028" w:rsidRPr="001A2464" w:rsidRDefault="00A34EAE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Burada E-XİDMƏTLƏR bölməsindən BÜTÜN XİDMƏTLƏR seçilir. </w:t>
      </w:r>
    </w:p>
    <w:p w14:paraId="49517484" w14:textId="26D36ACB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6465B62" wp14:editId="2F527708">
            <wp:simplePos x="0" y="0"/>
            <wp:positionH relativeFrom="margin">
              <wp:align>right</wp:align>
            </wp:positionH>
            <wp:positionV relativeFrom="paragraph">
              <wp:posOffset>491490</wp:posOffset>
            </wp:positionV>
            <wp:extent cx="5943600" cy="29159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2918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4EFBDA0" w14:textId="6F304E21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2215317" wp14:editId="2B3237EF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59436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Elektron xidmətlərin ümumi siyahısından </w:t>
      </w:r>
      <w:r w:rsidR="00B25BBE">
        <w:rPr>
          <w:rFonts w:asciiTheme="majorHAnsi" w:eastAsia="Calibri" w:hAnsiTheme="majorHAnsi" w:cstheme="majorHAnsi"/>
          <w:sz w:val="24"/>
          <w:szCs w:val="24"/>
        </w:rPr>
        <w:t>“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Azərişıq</w:t>
      </w:r>
      <w:r w:rsidR="00B25BBE">
        <w:rPr>
          <w:rFonts w:asciiTheme="majorHAnsi" w:eastAsia="Calibri" w:hAnsiTheme="majorHAnsi" w:cstheme="majorHAnsi"/>
          <w:sz w:val="24"/>
          <w:szCs w:val="24"/>
        </w:rPr>
        <w:t>”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ASC seçmək lazımdır.</w:t>
      </w:r>
    </w:p>
    <w:p w14:paraId="0C4A7C85" w14:textId="1A1167C8" w:rsidR="006F2028" w:rsidRP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  <w:lang w:val="en-US"/>
        </w:rPr>
        <w:drawing>
          <wp:anchor distT="0" distB="0" distL="0" distR="0" simplePos="0" relativeHeight="251662336" behindDoc="1" locked="0" layoutInCell="1" hidden="0" allowOverlap="1" wp14:anchorId="03111FA9" wp14:editId="32F087E6">
            <wp:simplePos x="0" y="0"/>
            <wp:positionH relativeFrom="margin">
              <wp:posOffset>-152400</wp:posOffset>
            </wp:positionH>
            <wp:positionV relativeFrom="paragraph">
              <wp:posOffset>2087880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06A949" w14:textId="41513F59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669937F9" w14:textId="453BD19F" w:rsidR="006F2028" w:rsidRPr="001A2464" w:rsidRDefault="006075E4" w:rsidP="006075E4">
      <w:pPr>
        <w:tabs>
          <w:tab w:val="left" w:pos="4320"/>
        </w:tabs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</w:p>
    <w:p w14:paraId="1F053F39" w14:textId="1FA1B7B5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27573989" w14:textId="5EE97D0B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1972CF71" w14:textId="0E0CBFC6" w:rsidR="006F2028" w:rsidRPr="001A2464" w:rsidRDefault="00952F50">
      <w:pPr>
        <w:pStyle w:val="Heading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99620964"/>
      <w:r>
        <w:rPr>
          <w:rFonts w:asciiTheme="majorHAnsi" w:hAnsiTheme="majorHAnsi" w:cstheme="majorHAnsi"/>
          <w:b/>
          <w:color w:val="366091"/>
          <w:sz w:val="28"/>
          <w:szCs w:val="28"/>
        </w:rPr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648CEA6E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0D0A69A3" w14:textId="61B9469D" w:rsidR="006F2028" w:rsidRPr="001A2464" w:rsidRDefault="00A34EAE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t>Sistemə daxil olduqdan sonra müraciət formasında aşağıdakı formalar doldurulmalıdır.</w:t>
      </w:r>
    </w:p>
    <w:p w14:paraId="6383465D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99620965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1D1FD87" w14:textId="1BD6E0EF" w:rsidR="006F2028" w:rsidRPr="001A2464" w:rsidRDefault="00A34EAE">
      <w:pPr>
        <w:spacing w:after="200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>Digər dövlət orqanları ilə inteqrasiyada olduğu üçün portala daxil olduğunuzda Əsas məlumatları avtomatik olaraq doldurulur</w:t>
      </w:r>
      <w:r w:rsidR="00AE4AB2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99620966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bookmarkEnd w:id="5"/>
    </w:p>
    <w:p w14:paraId="4B3404EC" w14:textId="31892C10" w:rsidR="006F2028" w:rsidRPr="001A2464" w:rsidRDefault="00CD7A55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766C3129" wp14:editId="150139DA">
            <wp:extent cx="5943600" cy="2041525"/>
            <wp:effectExtent l="0" t="0" r="0" b="0"/>
            <wp:docPr id="1838562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6230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A914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99620967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Əlaqə məlumatları</w:t>
      </w:r>
      <w:bookmarkEnd w:id="6"/>
    </w:p>
    <w:p w14:paraId="14C72AC7" w14:textId="624E0BDF" w:rsidR="006F2028" w:rsidRPr="001A2464" w:rsidRDefault="00D56E35">
      <w:pPr>
        <w:spacing w:after="200"/>
        <w:rPr>
          <w:rFonts w:asciiTheme="majorHAnsi" w:eastAsia="Calibri" w:hAnsiTheme="majorHAnsi" w:cstheme="majorHAnsi"/>
        </w:rPr>
      </w:pPr>
      <w:r>
        <w:rPr>
          <w:noProof/>
          <w:lang w:val="en-US"/>
        </w:rPr>
        <w:drawing>
          <wp:inline distT="0" distB="0" distL="0" distR="0" wp14:anchorId="672A55D5" wp14:editId="6A2C523B">
            <wp:extent cx="5943600" cy="1517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415B975F" w:rsidR="006F2028" w:rsidRDefault="00A34EAE">
      <w:pPr>
        <w:spacing w:after="200"/>
        <w:ind w:firstLine="426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Son olaraq </w:t>
      </w:r>
      <w:r w:rsidR="00056EC8" w:rsidRPr="001A2464">
        <w:rPr>
          <w:rFonts w:asciiTheme="majorHAnsi" w:hAnsiTheme="majorHAnsi" w:cstheme="majorHAnsi"/>
          <w:sz w:val="24"/>
          <w:szCs w:val="24"/>
        </w:rPr>
        <w:t xml:space="preserve">istehlakçı </w:t>
      </w:r>
      <w:r w:rsidRPr="001A2464">
        <w:rPr>
          <w:rFonts w:asciiTheme="majorHAnsi" w:hAnsiTheme="majorHAnsi" w:cstheme="majorHAnsi"/>
          <w:sz w:val="24"/>
          <w:szCs w:val="24"/>
        </w:rPr>
        <w:t xml:space="preserve">əlaqə məlumatları bölməsinə mobil nömrələrin, elektron poct ünvanını qeyd edir və “Müraciəti göndər” düyməsi sıxılır. “Müraciəti göndər” düyməsindən istifadə etməklə yaradılmış elektron müraciəti “Azərİşıq” ASC – nin müvafiq qeydiyyat orqanına göndərilir. Əlaqə məlumatlarında </w:t>
      </w:r>
      <w:r w:rsidR="00056EC8" w:rsidRPr="001A2464">
        <w:rPr>
          <w:rFonts w:asciiTheme="majorHAnsi" w:hAnsiTheme="majorHAnsi" w:cstheme="majorHAnsi"/>
          <w:sz w:val="24"/>
          <w:szCs w:val="24"/>
        </w:rPr>
        <w:t>“Mobil nömrəsi”</w:t>
      </w:r>
      <w:r w:rsidRPr="001A2464">
        <w:rPr>
          <w:rFonts w:asciiTheme="majorHAnsi" w:hAnsiTheme="majorHAnsi" w:cstheme="majorHAnsi"/>
          <w:sz w:val="24"/>
          <w:szCs w:val="24"/>
        </w:rPr>
        <w:t xml:space="preserve"> xanasına mütləq aktiv mobil telefon nömrəsi daxil edilməlidir.</w:t>
      </w:r>
    </w:p>
    <w:p w14:paraId="71CAED9A" w14:textId="77777777" w:rsidR="00D56E35" w:rsidRPr="001A2464" w:rsidRDefault="00D56E35">
      <w:pPr>
        <w:spacing w:after="200"/>
        <w:ind w:firstLine="426"/>
        <w:rPr>
          <w:rFonts w:asciiTheme="majorHAnsi" w:hAnsiTheme="majorHAnsi" w:cstheme="majorHAnsi"/>
          <w:sz w:val="24"/>
          <w:szCs w:val="24"/>
        </w:rPr>
      </w:pPr>
    </w:p>
    <w:p w14:paraId="794C8747" w14:textId="77777777" w:rsidR="006F2028" w:rsidRPr="001A2464" w:rsidRDefault="00A34EAE">
      <w:pPr>
        <w:pStyle w:val="Heading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7" w:name="_Toc99620968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7"/>
    </w:p>
    <w:p w14:paraId="07EEB5D1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6BC1D2B0" w14:textId="0EC0E1EB" w:rsidR="006F2028" w:rsidRPr="001A2464" w:rsidRDefault="00056EC8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>Müvafiq müraciət xanaları doldurduqdan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 sonra SMS xidməti vasitəsi ilə </w:t>
      </w:r>
      <w:r w:rsidRPr="001A2464">
        <w:rPr>
          <w:rFonts w:asciiTheme="majorHAnsi" w:hAnsiTheme="majorHAnsi" w:cstheme="majorHAnsi"/>
          <w:sz w:val="24"/>
          <w:szCs w:val="24"/>
        </w:rPr>
        <w:t xml:space="preserve">istehlakçı  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müvafiq sənədlər toplusu elektron qaydada göndərilir. </w:t>
      </w:r>
    </w:p>
    <w:p w14:paraId="54518615" w14:textId="0CACCAB7" w:rsidR="006F2028" w:rsidRPr="001A2464" w:rsidRDefault="0023676E" w:rsidP="008D0D83">
      <w:pPr>
        <w:spacing w:line="360" w:lineRule="auto"/>
        <w:ind w:firstLine="567"/>
        <w:rPr>
          <w:rFonts w:asciiTheme="majorHAnsi" w:hAnsiTheme="majorHAnsi" w:cstheme="majorHAnsi"/>
        </w:rPr>
      </w:pPr>
      <w:bookmarkStart w:id="8" w:name="_17dp8vu" w:colFirst="0" w:colLast="0"/>
      <w:bookmarkEnd w:id="8"/>
      <w:r w:rsidRPr="001A2464">
        <w:rPr>
          <w:rFonts w:asciiTheme="majorHAnsi" w:hAnsiTheme="majorHAnsi" w:cstheme="majorHAnsi"/>
          <w:sz w:val="24"/>
          <w:szCs w:val="24"/>
        </w:rPr>
        <w:t>İstehlakçı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, müraciətinin qəbulu və müraciətinin hansı mərhələdə olduğu məlumatını </w:t>
      </w:r>
      <w:hyperlink r:id="rId17" w:history="1">
        <w:r w:rsidR="00E13191" w:rsidRPr="001A2464">
          <w:rPr>
            <w:rStyle w:val="Hyperlink"/>
            <w:rFonts w:asciiTheme="majorHAnsi" w:hAnsiTheme="majorHAnsi" w:cstheme="majorHAnsi"/>
            <w:sz w:val="24"/>
            <w:szCs w:val="24"/>
          </w:rPr>
          <w:t>www.azerishiq.az</w:t>
        </w:r>
      </w:hyperlink>
      <w:r w:rsidR="00E13191" w:rsidRPr="001A2464">
        <w:rPr>
          <w:rFonts w:asciiTheme="majorHAnsi" w:hAnsiTheme="majorHAnsi" w:cstheme="majorHAnsi"/>
          <w:sz w:val="24"/>
          <w:szCs w:val="24"/>
        </w:rPr>
        <w:t xml:space="preserve"> və 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həmçinin </w:t>
      </w:r>
      <w:hyperlink r:id="rId18" w:history="1">
        <w:r w:rsidR="00DA2600" w:rsidRPr="001A2464">
          <w:rPr>
            <w:rStyle w:val="Hyperlink"/>
            <w:rFonts w:asciiTheme="majorHAnsi" w:hAnsiTheme="majorHAnsi" w:cstheme="majorHAnsi"/>
            <w:sz w:val="24"/>
            <w:szCs w:val="24"/>
          </w:rPr>
          <w:t>www.e-gov.az</w:t>
        </w:r>
      </w:hyperlink>
      <w:r w:rsidR="00DA2600" w:rsidRPr="001A2464">
        <w:rPr>
          <w:rFonts w:asciiTheme="majorHAns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hAnsiTheme="majorHAnsi" w:cstheme="majorHAnsi"/>
          <w:sz w:val="24"/>
          <w:szCs w:val="24"/>
        </w:rPr>
        <w:t>(elektron hökümət portalı) vasitəsi ilə əldə edə bilər.</w:t>
      </w:r>
    </w:p>
    <w:sectPr w:rsidR="006F2028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87846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679B"/>
    <w:rsid w:val="00056EC8"/>
    <w:rsid w:val="00111897"/>
    <w:rsid w:val="00194D28"/>
    <w:rsid w:val="00195AC1"/>
    <w:rsid w:val="001A2464"/>
    <w:rsid w:val="001C4A0E"/>
    <w:rsid w:val="0023676E"/>
    <w:rsid w:val="00252E54"/>
    <w:rsid w:val="003215A8"/>
    <w:rsid w:val="003874EA"/>
    <w:rsid w:val="003A3630"/>
    <w:rsid w:val="004206C7"/>
    <w:rsid w:val="00434905"/>
    <w:rsid w:val="00542BCC"/>
    <w:rsid w:val="005435B1"/>
    <w:rsid w:val="00552EDE"/>
    <w:rsid w:val="005C0C6C"/>
    <w:rsid w:val="006075E4"/>
    <w:rsid w:val="006873B9"/>
    <w:rsid w:val="00691535"/>
    <w:rsid w:val="006F2028"/>
    <w:rsid w:val="0075364D"/>
    <w:rsid w:val="00755159"/>
    <w:rsid w:val="00882DA6"/>
    <w:rsid w:val="008B5B13"/>
    <w:rsid w:val="008D0D83"/>
    <w:rsid w:val="009068E2"/>
    <w:rsid w:val="00936E91"/>
    <w:rsid w:val="00946C3D"/>
    <w:rsid w:val="00952F50"/>
    <w:rsid w:val="009F7AFD"/>
    <w:rsid w:val="00A34EAE"/>
    <w:rsid w:val="00AA05AA"/>
    <w:rsid w:val="00AE4AB2"/>
    <w:rsid w:val="00B0666A"/>
    <w:rsid w:val="00B25BBE"/>
    <w:rsid w:val="00BF1F4E"/>
    <w:rsid w:val="00C65FAF"/>
    <w:rsid w:val="00C778C0"/>
    <w:rsid w:val="00C800E8"/>
    <w:rsid w:val="00C829A1"/>
    <w:rsid w:val="00CD7A55"/>
    <w:rsid w:val="00D026AF"/>
    <w:rsid w:val="00D23789"/>
    <w:rsid w:val="00D33673"/>
    <w:rsid w:val="00D472C3"/>
    <w:rsid w:val="00D56E35"/>
    <w:rsid w:val="00DA2600"/>
    <w:rsid w:val="00DC7959"/>
    <w:rsid w:val="00E13191"/>
    <w:rsid w:val="00F30C1A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az-Latn-AZ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2E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D237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378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-gov.a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azerishiq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e-gov.a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9C6A-3A78-4742-87DE-B6769983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Hüseyn Məmmədov</dc:creator>
  <cp:lastModifiedBy>Murad Kerimov</cp:lastModifiedBy>
  <cp:revision>2</cp:revision>
  <dcterms:created xsi:type="dcterms:W3CDTF">2023-11-03T12:03:00Z</dcterms:created>
  <dcterms:modified xsi:type="dcterms:W3CDTF">2023-11-03T12:03:00Z</dcterms:modified>
</cp:coreProperties>
</file>